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FF975" w14:textId="3078F8AC" w:rsidR="008556E6" w:rsidRDefault="008556E6" w:rsidP="004939FC">
      <w:pPr>
        <w:spacing w:line="276" w:lineRule="auto"/>
        <w:ind w:firstLine="708"/>
        <w:jc w:val="both"/>
      </w:pPr>
      <w:r w:rsidRPr="008556E6">
        <w:t>Основание</w:t>
      </w:r>
      <w:r w:rsidR="00003E47">
        <w:t>м</w:t>
      </w:r>
      <w:r w:rsidRPr="008556E6">
        <w:t xml:space="preserve"> для разработки документации по планировке территории</w:t>
      </w:r>
      <w:r w:rsidR="00003E47">
        <w:t xml:space="preserve"> является</w:t>
      </w:r>
      <w:r w:rsidRPr="008556E6">
        <w:t xml:space="preserve"> комплексная инвестиционная программа </w:t>
      </w:r>
      <w:r w:rsidR="004939FC">
        <w:t>освоения</w:t>
      </w:r>
      <w:r w:rsidRPr="008556E6">
        <w:t xml:space="preserve"> </w:t>
      </w:r>
      <w:proofErr w:type="spellStart"/>
      <w:r w:rsidR="00C061AB">
        <w:t>Сакадинского</w:t>
      </w:r>
      <w:proofErr w:type="spellEnd"/>
      <w:r w:rsidRPr="008556E6">
        <w:t xml:space="preserve"> месторождения </w:t>
      </w:r>
      <w:r w:rsidR="00C061AB">
        <w:t>ООО «ННК-</w:t>
      </w:r>
      <w:proofErr w:type="spellStart"/>
      <w:r w:rsidR="00C061AB">
        <w:t>Оренбургнефтегаз</w:t>
      </w:r>
      <w:proofErr w:type="spellEnd"/>
      <w:r w:rsidR="00C061AB">
        <w:t>»</w:t>
      </w:r>
    </w:p>
    <w:p w14:paraId="1BC458DA" w14:textId="77777777" w:rsidR="007B3EBB" w:rsidRDefault="001E56BF" w:rsidP="004939FC">
      <w:pPr>
        <w:spacing w:line="276" w:lineRule="auto"/>
        <w:ind w:firstLine="708"/>
        <w:jc w:val="both"/>
      </w:pPr>
      <w:r>
        <w:t xml:space="preserve">Объект представляет собой линейный объект </w:t>
      </w:r>
      <w:r w:rsidR="00111EE3">
        <w:t>в</w:t>
      </w:r>
      <w:r w:rsidR="004939FC">
        <w:t xml:space="preserve"> следующем</w:t>
      </w:r>
      <w:r w:rsidR="00111EE3">
        <w:t xml:space="preserve"> составе:</w:t>
      </w:r>
      <w:r>
        <w:t xml:space="preserve"> </w:t>
      </w:r>
    </w:p>
    <w:p w14:paraId="795FDEA2" w14:textId="77777777" w:rsidR="00C061AB" w:rsidRPr="00C061AB" w:rsidRDefault="00C061AB" w:rsidP="00C061AB">
      <w:pPr>
        <w:spacing w:line="276" w:lineRule="auto"/>
        <w:ind w:firstLine="709"/>
        <w:jc w:val="both"/>
        <w:rPr>
          <w:rFonts w:eastAsia="Times New Roman" w:cs="Times New Roman"/>
          <w:color w:val="2C2D2E"/>
          <w:lang w:bidi="ar-SA"/>
        </w:rPr>
      </w:pPr>
      <w:r w:rsidRPr="00C061AB">
        <w:rPr>
          <w:rFonts w:eastAsia="Times New Roman" w:cs="Times New Roman"/>
          <w:color w:val="2C2D2E"/>
          <w:lang w:bidi="ar-SA"/>
        </w:rPr>
        <w:t>Площадные объекты:</w:t>
      </w:r>
    </w:p>
    <w:p w14:paraId="6DECE7A8" w14:textId="77777777" w:rsidR="00C061AB" w:rsidRPr="00C061AB" w:rsidRDefault="00C061AB" w:rsidP="00C061AB">
      <w:pPr>
        <w:spacing w:line="276" w:lineRule="auto"/>
        <w:ind w:firstLine="709"/>
        <w:jc w:val="both"/>
        <w:rPr>
          <w:rFonts w:eastAsia="Times New Roman" w:cs="Times New Roman"/>
          <w:color w:val="2C2D2E"/>
          <w:lang w:bidi="ar-SA"/>
        </w:rPr>
      </w:pPr>
      <w:r w:rsidRPr="00C061AB">
        <w:rPr>
          <w:rFonts w:eastAsia="Times New Roman" w:cs="Times New Roman"/>
          <w:color w:val="2C2D2E"/>
          <w:lang w:bidi="ar-SA"/>
        </w:rPr>
        <w:t>- Приустьевая площадка нефтяной скважины;</w:t>
      </w:r>
    </w:p>
    <w:p w14:paraId="34800D25" w14:textId="77777777" w:rsidR="00C061AB" w:rsidRPr="00C061AB" w:rsidRDefault="00C061AB" w:rsidP="00C061AB">
      <w:pPr>
        <w:spacing w:line="276" w:lineRule="auto"/>
        <w:ind w:firstLine="709"/>
        <w:jc w:val="both"/>
        <w:rPr>
          <w:rFonts w:eastAsia="Times New Roman" w:cs="Times New Roman"/>
          <w:color w:val="2C2D2E"/>
          <w:lang w:bidi="ar-SA"/>
        </w:rPr>
      </w:pPr>
      <w:r w:rsidRPr="00C061AB">
        <w:rPr>
          <w:rFonts w:eastAsia="Times New Roman" w:cs="Times New Roman"/>
          <w:color w:val="2C2D2E"/>
          <w:lang w:bidi="ar-SA"/>
        </w:rPr>
        <w:t>- Площадка под ремонтный агрегат;</w:t>
      </w:r>
    </w:p>
    <w:p w14:paraId="2F851AAF" w14:textId="77777777" w:rsidR="00C061AB" w:rsidRPr="00C061AB" w:rsidRDefault="00C061AB" w:rsidP="00C061AB">
      <w:pPr>
        <w:spacing w:line="276" w:lineRule="auto"/>
        <w:ind w:firstLine="709"/>
        <w:jc w:val="both"/>
        <w:rPr>
          <w:rFonts w:eastAsia="Times New Roman" w:cs="Times New Roman"/>
          <w:color w:val="2C2D2E"/>
          <w:lang w:bidi="ar-SA"/>
        </w:rPr>
      </w:pPr>
      <w:r w:rsidRPr="00C061AB">
        <w:rPr>
          <w:rFonts w:eastAsia="Times New Roman" w:cs="Times New Roman"/>
          <w:color w:val="2C2D2E"/>
          <w:lang w:bidi="ar-SA"/>
        </w:rPr>
        <w:t>- Емкость производственно-дождевых стоков;</w:t>
      </w:r>
    </w:p>
    <w:p w14:paraId="205D880A" w14:textId="77777777" w:rsidR="00C061AB" w:rsidRPr="00C061AB" w:rsidRDefault="00C061AB" w:rsidP="00C061AB">
      <w:pPr>
        <w:spacing w:line="276" w:lineRule="auto"/>
        <w:ind w:firstLine="709"/>
        <w:jc w:val="both"/>
        <w:rPr>
          <w:rFonts w:eastAsia="Times New Roman" w:cs="Times New Roman"/>
          <w:color w:val="2C2D2E"/>
          <w:lang w:bidi="ar-SA"/>
        </w:rPr>
      </w:pPr>
      <w:r w:rsidRPr="00C061AB">
        <w:rPr>
          <w:rFonts w:eastAsia="Times New Roman" w:cs="Times New Roman"/>
          <w:color w:val="2C2D2E"/>
          <w:lang w:bidi="ar-SA"/>
        </w:rPr>
        <w:t>- Молниеотвод.</w:t>
      </w:r>
    </w:p>
    <w:p w14:paraId="3F38A0A7" w14:textId="77777777" w:rsidR="00C061AB" w:rsidRPr="00C061AB" w:rsidRDefault="00C061AB" w:rsidP="00C061AB">
      <w:pPr>
        <w:spacing w:line="276" w:lineRule="auto"/>
        <w:ind w:firstLine="709"/>
        <w:jc w:val="both"/>
        <w:rPr>
          <w:rFonts w:eastAsia="Times New Roman" w:cs="Times New Roman"/>
          <w:color w:val="2C2D2E"/>
          <w:lang w:bidi="ar-SA"/>
        </w:rPr>
      </w:pPr>
      <w:r w:rsidRPr="00C061AB">
        <w:rPr>
          <w:rFonts w:eastAsia="Times New Roman" w:cs="Times New Roman"/>
          <w:color w:val="2C2D2E"/>
          <w:lang w:bidi="ar-SA"/>
        </w:rPr>
        <w:t xml:space="preserve">Линейные объекты: </w:t>
      </w:r>
    </w:p>
    <w:p w14:paraId="7A780945" w14:textId="77777777" w:rsidR="00C061AB" w:rsidRPr="00C061AB" w:rsidRDefault="00C061AB" w:rsidP="00C061AB">
      <w:pPr>
        <w:spacing w:line="276" w:lineRule="auto"/>
        <w:ind w:firstLine="709"/>
        <w:jc w:val="both"/>
        <w:rPr>
          <w:rFonts w:eastAsia="Times New Roman" w:cs="Times New Roman"/>
          <w:color w:val="2C2D2E"/>
          <w:lang w:bidi="ar-SA"/>
        </w:rPr>
      </w:pPr>
      <w:r w:rsidRPr="00C061AB">
        <w:rPr>
          <w:rFonts w:eastAsia="Times New Roman" w:cs="Times New Roman"/>
          <w:color w:val="2C2D2E"/>
          <w:lang w:bidi="ar-SA"/>
        </w:rPr>
        <w:t xml:space="preserve">- Выкидной трубопровод от </w:t>
      </w:r>
      <w:proofErr w:type="spellStart"/>
      <w:r w:rsidRPr="00C061AB">
        <w:rPr>
          <w:rFonts w:eastAsia="Times New Roman" w:cs="Times New Roman"/>
          <w:color w:val="2C2D2E"/>
          <w:lang w:bidi="ar-SA"/>
        </w:rPr>
        <w:t>скв</w:t>
      </w:r>
      <w:proofErr w:type="spellEnd"/>
      <w:r w:rsidRPr="00C061AB">
        <w:rPr>
          <w:rFonts w:eastAsia="Times New Roman" w:cs="Times New Roman"/>
          <w:color w:val="2C2D2E"/>
          <w:lang w:bidi="ar-SA"/>
        </w:rPr>
        <w:t>. №98 до точки врезки в сущ. Нефтесборный трубопровод;</w:t>
      </w:r>
    </w:p>
    <w:p w14:paraId="6A089DC4" w14:textId="77777777" w:rsidR="00C061AB" w:rsidRPr="00C061AB" w:rsidRDefault="00C061AB" w:rsidP="00C061AB">
      <w:pPr>
        <w:spacing w:line="276" w:lineRule="auto"/>
        <w:ind w:firstLine="709"/>
        <w:jc w:val="both"/>
        <w:rPr>
          <w:rFonts w:eastAsia="Times New Roman" w:cs="Times New Roman"/>
          <w:color w:val="2C2D2E"/>
          <w:lang w:bidi="ar-SA"/>
        </w:rPr>
      </w:pPr>
      <w:r w:rsidRPr="00C061AB">
        <w:rPr>
          <w:rFonts w:eastAsia="Times New Roman" w:cs="Times New Roman"/>
          <w:color w:val="2C2D2E"/>
          <w:lang w:bidi="ar-SA"/>
        </w:rPr>
        <w:t xml:space="preserve">- Проектируемая кабельная эстакадная к </w:t>
      </w:r>
      <w:proofErr w:type="spellStart"/>
      <w:r w:rsidRPr="00C061AB">
        <w:rPr>
          <w:rFonts w:eastAsia="Times New Roman" w:cs="Times New Roman"/>
          <w:color w:val="2C2D2E"/>
          <w:lang w:bidi="ar-SA"/>
        </w:rPr>
        <w:t>скв</w:t>
      </w:r>
      <w:proofErr w:type="spellEnd"/>
      <w:r w:rsidRPr="00C061AB">
        <w:rPr>
          <w:rFonts w:eastAsia="Times New Roman" w:cs="Times New Roman"/>
          <w:color w:val="2C2D2E"/>
          <w:lang w:bidi="ar-SA"/>
        </w:rPr>
        <w:t>. №98;</w:t>
      </w:r>
    </w:p>
    <w:p w14:paraId="016757DA" w14:textId="5338C9B0" w:rsidR="00C061AB" w:rsidRPr="00C061AB" w:rsidRDefault="00C061AB" w:rsidP="00C061AB">
      <w:pPr>
        <w:spacing w:line="276" w:lineRule="auto"/>
        <w:ind w:firstLine="709"/>
        <w:jc w:val="both"/>
        <w:rPr>
          <w:rFonts w:eastAsia="Times New Roman" w:cs="Times New Roman"/>
          <w:color w:val="2C2D2E"/>
          <w:lang w:bidi="ar-SA"/>
        </w:rPr>
      </w:pPr>
      <w:r w:rsidRPr="00C061AB">
        <w:rPr>
          <w:rFonts w:eastAsia="Times New Roman" w:cs="Times New Roman"/>
          <w:color w:val="2C2D2E"/>
          <w:lang w:bidi="ar-SA"/>
        </w:rPr>
        <w:t xml:space="preserve">- </w:t>
      </w:r>
      <w:r w:rsidRPr="00C061AB">
        <w:rPr>
          <w:rFonts w:eastAsia="Times New Roman" w:cs="Times New Roman"/>
          <w:color w:val="2C2D2E"/>
          <w:lang w:bidi="ar-SA"/>
        </w:rPr>
        <w:t>Подъездной</w:t>
      </w:r>
      <w:r w:rsidRPr="00C061AB">
        <w:rPr>
          <w:rFonts w:eastAsia="Times New Roman" w:cs="Times New Roman"/>
          <w:color w:val="2C2D2E"/>
          <w:lang w:bidi="ar-SA"/>
        </w:rPr>
        <w:t xml:space="preserve"> путь к площадке скважины №98.</w:t>
      </w:r>
    </w:p>
    <w:p w14:paraId="4902215D" w14:textId="77777777" w:rsidR="00C061AB" w:rsidRPr="00C061AB" w:rsidRDefault="00C061AB" w:rsidP="00C061AB">
      <w:pPr>
        <w:suppressAutoHyphens w:val="0"/>
        <w:spacing w:line="276" w:lineRule="auto"/>
        <w:ind w:firstLine="567"/>
        <w:jc w:val="both"/>
        <w:rPr>
          <w:rFonts w:cs="Times New Roman"/>
          <w:bCs/>
        </w:rPr>
      </w:pPr>
      <w:r w:rsidRPr="00C061AB">
        <w:rPr>
          <w:rFonts w:cs="Times New Roman"/>
          <w:bCs/>
        </w:rPr>
        <w:t xml:space="preserve">В административном отношении участок работ расположен на территории Воздвиженского сельсовета Асекеевского муниципального района Оренбургской области. Ближайшими населенными пунктами являются: </w:t>
      </w:r>
    </w:p>
    <w:p w14:paraId="71C6D036" w14:textId="793A3CB7" w:rsidR="00C061AB" w:rsidRPr="00C061AB" w:rsidRDefault="00C061AB" w:rsidP="00C061AB">
      <w:pPr>
        <w:pStyle w:val="a3"/>
        <w:numPr>
          <w:ilvl w:val="0"/>
          <w:numId w:val="4"/>
        </w:numPr>
        <w:ind w:left="993"/>
        <w:jc w:val="both"/>
        <w:rPr>
          <w:rFonts w:ascii="Times New Roman" w:hAnsi="Times New Roman"/>
          <w:bCs/>
          <w:sz w:val="24"/>
          <w:szCs w:val="24"/>
        </w:rPr>
      </w:pPr>
      <w:r w:rsidRPr="00C061AB">
        <w:rPr>
          <w:rFonts w:ascii="Times New Roman" w:hAnsi="Times New Roman"/>
          <w:bCs/>
          <w:sz w:val="24"/>
          <w:szCs w:val="24"/>
        </w:rPr>
        <w:t xml:space="preserve"> д. </w:t>
      </w:r>
      <w:proofErr w:type="spellStart"/>
      <w:r w:rsidRPr="00C061AB">
        <w:rPr>
          <w:rFonts w:ascii="Times New Roman" w:hAnsi="Times New Roman"/>
          <w:bCs/>
          <w:sz w:val="24"/>
          <w:szCs w:val="24"/>
        </w:rPr>
        <w:t>Козловка</w:t>
      </w:r>
      <w:proofErr w:type="spellEnd"/>
      <w:r w:rsidRPr="00C061AB">
        <w:rPr>
          <w:rFonts w:ascii="Times New Roman" w:hAnsi="Times New Roman"/>
          <w:bCs/>
          <w:sz w:val="24"/>
          <w:szCs w:val="24"/>
        </w:rPr>
        <w:t>, расположена в 2,5 км северо-западнее района работ;</w:t>
      </w:r>
    </w:p>
    <w:p w14:paraId="732EA93E" w14:textId="4A38341D" w:rsidR="00C061AB" w:rsidRPr="00C061AB" w:rsidRDefault="00C061AB" w:rsidP="00C061AB">
      <w:pPr>
        <w:pStyle w:val="a3"/>
        <w:numPr>
          <w:ilvl w:val="0"/>
          <w:numId w:val="4"/>
        </w:numPr>
        <w:ind w:left="993"/>
        <w:jc w:val="both"/>
        <w:rPr>
          <w:rFonts w:ascii="Times New Roman" w:hAnsi="Times New Roman"/>
          <w:bCs/>
          <w:sz w:val="24"/>
          <w:szCs w:val="24"/>
        </w:rPr>
      </w:pPr>
      <w:r w:rsidRPr="00C061AB">
        <w:rPr>
          <w:rFonts w:ascii="Times New Roman" w:hAnsi="Times New Roman"/>
          <w:bCs/>
          <w:sz w:val="24"/>
          <w:szCs w:val="24"/>
        </w:rPr>
        <w:t xml:space="preserve"> пос. Красногорский, расположен в 5,8 км юго-западнее района работ;</w:t>
      </w:r>
    </w:p>
    <w:p w14:paraId="601F92A7" w14:textId="69340B48" w:rsidR="00C061AB" w:rsidRPr="00C061AB" w:rsidRDefault="00C061AB" w:rsidP="00C061AB">
      <w:pPr>
        <w:pStyle w:val="a3"/>
        <w:numPr>
          <w:ilvl w:val="0"/>
          <w:numId w:val="4"/>
        </w:numPr>
        <w:ind w:left="993"/>
        <w:jc w:val="both"/>
        <w:rPr>
          <w:rFonts w:ascii="Times New Roman" w:hAnsi="Times New Roman"/>
          <w:bCs/>
          <w:sz w:val="24"/>
          <w:szCs w:val="24"/>
        </w:rPr>
      </w:pPr>
      <w:r w:rsidRPr="00C061AB">
        <w:rPr>
          <w:rFonts w:ascii="Times New Roman" w:hAnsi="Times New Roman"/>
          <w:bCs/>
          <w:sz w:val="24"/>
          <w:szCs w:val="24"/>
        </w:rPr>
        <w:t xml:space="preserve"> с. Воздвиженка, расположено в 23,7 км северо-западнее района работ;</w:t>
      </w:r>
    </w:p>
    <w:p w14:paraId="3649F67F" w14:textId="0CA1C5B1" w:rsidR="00C061AB" w:rsidRPr="00C061AB" w:rsidRDefault="00C061AB" w:rsidP="00C061AB">
      <w:pPr>
        <w:pStyle w:val="a3"/>
        <w:numPr>
          <w:ilvl w:val="0"/>
          <w:numId w:val="4"/>
        </w:numPr>
        <w:ind w:left="993"/>
        <w:jc w:val="both"/>
        <w:rPr>
          <w:rFonts w:ascii="Times New Roman" w:hAnsi="Times New Roman"/>
          <w:bCs/>
          <w:sz w:val="24"/>
          <w:szCs w:val="24"/>
        </w:rPr>
      </w:pPr>
      <w:r w:rsidRPr="00C061AB">
        <w:rPr>
          <w:rFonts w:ascii="Times New Roman" w:hAnsi="Times New Roman"/>
          <w:bCs/>
          <w:sz w:val="24"/>
          <w:szCs w:val="24"/>
        </w:rPr>
        <w:t xml:space="preserve"> с. </w:t>
      </w:r>
      <w:proofErr w:type="spellStart"/>
      <w:r w:rsidRPr="00C061AB">
        <w:rPr>
          <w:rFonts w:ascii="Times New Roman" w:hAnsi="Times New Roman"/>
          <w:bCs/>
          <w:sz w:val="24"/>
          <w:szCs w:val="24"/>
        </w:rPr>
        <w:t>Брянчаниново</w:t>
      </w:r>
      <w:proofErr w:type="spellEnd"/>
      <w:r w:rsidRPr="00C061AB">
        <w:rPr>
          <w:rFonts w:ascii="Times New Roman" w:hAnsi="Times New Roman"/>
          <w:bCs/>
          <w:sz w:val="24"/>
          <w:szCs w:val="24"/>
        </w:rPr>
        <w:t>, расположено в 10,0 км северо-западнее района работ.</w:t>
      </w:r>
    </w:p>
    <w:p w14:paraId="4E823A35" w14:textId="77777777" w:rsidR="00C061AB" w:rsidRPr="00C061AB" w:rsidRDefault="00C061AB" w:rsidP="00C061AB">
      <w:pPr>
        <w:suppressAutoHyphens w:val="0"/>
        <w:spacing w:line="276" w:lineRule="auto"/>
        <w:ind w:firstLine="567"/>
        <w:jc w:val="both"/>
        <w:rPr>
          <w:rFonts w:cs="Times New Roman"/>
          <w:bCs/>
        </w:rPr>
      </w:pPr>
      <w:r w:rsidRPr="00C061AB">
        <w:rPr>
          <w:rFonts w:cs="Times New Roman"/>
          <w:bCs/>
        </w:rPr>
        <w:t>Участок проектируемых работ находится на территории разрабатываемых объектов нефтедобычи.</w:t>
      </w:r>
    </w:p>
    <w:p w14:paraId="74FFD573" w14:textId="77777777" w:rsidR="00C061AB" w:rsidRPr="00C061AB" w:rsidRDefault="00C061AB" w:rsidP="00C061AB">
      <w:pPr>
        <w:suppressAutoHyphens w:val="0"/>
        <w:spacing w:line="276" w:lineRule="auto"/>
        <w:ind w:firstLine="567"/>
        <w:jc w:val="both"/>
        <w:rPr>
          <w:rFonts w:cs="Times New Roman"/>
          <w:bCs/>
        </w:rPr>
      </w:pPr>
      <w:r w:rsidRPr="00C061AB">
        <w:rPr>
          <w:rFonts w:cs="Times New Roman"/>
          <w:bCs/>
        </w:rPr>
        <w:t xml:space="preserve">Дорожная сеть в районе работ развита хорошо. В 2,5 км севернее участка работ проходит автодорога «Троицкое - </w:t>
      </w:r>
      <w:proofErr w:type="spellStart"/>
      <w:r w:rsidRPr="00C061AB">
        <w:rPr>
          <w:rFonts w:cs="Times New Roman"/>
          <w:bCs/>
        </w:rPr>
        <w:t>Аксютино</w:t>
      </w:r>
      <w:proofErr w:type="spellEnd"/>
      <w:r w:rsidRPr="00C061AB">
        <w:rPr>
          <w:rFonts w:cs="Times New Roman"/>
          <w:bCs/>
        </w:rPr>
        <w:t xml:space="preserve">» (53Н-0515000), в 2,1 км западнее проходит автодорога «Подъезд к пос. Красногорский от автомобильной дороги Троицкое - </w:t>
      </w:r>
      <w:proofErr w:type="spellStart"/>
      <w:r w:rsidRPr="00C061AB">
        <w:rPr>
          <w:rFonts w:cs="Times New Roman"/>
          <w:bCs/>
        </w:rPr>
        <w:t>Аксютино</w:t>
      </w:r>
      <w:proofErr w:type="spellEnd"/>
      <w:r w:rsidRPr="00C061AB">
        <w:rPr>
          <w:rFonts w:cs="Times New Roman"/>
          <w:bCs/>
        </w:rPr>
        <w:t>», а также подъездными грунтовыми и проселочными дорогами к указанным выше селам.</w:t>
      </w:r>
    </w:p>
    <w:p w14:paraId="15AC8096" w14:textId="77777777" w:rsidR="00C061AB" w:rsidRPr="00C061AB" w:rsidRDefault="00C061AB" w:rsidP="00C061AB">
      <w:pPr>
        <w:suppressAutoHyphens w:val="0"/>
        <w:spacing w:line="276" w:lineRule="auto"/>
        <w:ind w:firstLine="567"/>
        <w:jc w:val="both"/>
        <w:rPr>
          <w:rFonts w:cs="Times New Roman"/>
          <w:bCs/>
        </w:rPr>
      </w:pPr>
      <w:r w:rsidRPr="00C061AB">
        <w:rPr>
          <w:rFonts w:cs="Times New Roman"/>
          <w:bCs/>
        </w:rPr>
        <w:t>Ближайшая железная дорога «Самара-Уфа» проходит в 33,8 км севернее района работ. Ближайшая ж/д станция «Кисла».</w:t>
      </w:r>
    </w:p>
    <w:p w14:paraId="52B6B740" w14:textId="15CDABDF" w:rsidR="008556E6" w:rsidRPr="00C13769" w:rsidRDefault="00C061AB" w:rsidP="00C061AB">
      <w:pPr>
        <w:suppressAutoHyphens w:val="0"/>
        <w:spacing w:line="276" w:lineRule="auto"/>
        <w:ind w:firstLine="567"/>
        <w:jc w:val="both"/>
        <w:rPr>
          <w:lang w:eastAsia="ru-RU"/>
        </w:rPr>
      </w:pPr>
      <w:r w:rsidRPr="00C061AB">
        <w:rPr>
          <w:rFonts w:cs="Times New Roman"/>
          <w:bCs/>
        </w:rPr>
        <w:t xml:space="preserve">В гидрологическом отношении территория изысканий принадлежит бассейну р. Мал. Кинель и представлена логом без названия и р. Чесноковка. Относительно проектируемых сооружений лог без названия находится восточнее на минимальном расстоянии 60 м, р. Чесноковка – восточнее на расстоянии 1,05 км. Пересечения через водные преграды проектом не </w:t>
      </w:r>
      <w:proofErr w:type="spellStart"/>
      <w:proofErr w:type="gramStart"/>
      <w:r w:rsidRPr="00C061AB">
        <w:rPr>
          <w:rFonts w:cs="Times New Roman"/>
          <w:bCs/>
        </w:rPr>
        <w:t>предусмотрены.</w:t>
      </w:r>
      <w:r w:rsidR="008556E6" w:rsidRPr="00C13769">
        <w:rPr>
          <w:lang w:eastAsia="ru-RU"/>
        </w:rPr>
        <w:t>Выбранное</w:t>
      </w:r>
      <w:proofErr w:type="spellEnd"/>
      <w:proofErr w:type="gramEnd"/>
      <w:r w:rsidR="008556E6" w:rsidRPr="00C13769">
        <w:rPr>
          <w:lang w:eastAsia="ru-RU"/>
        </w:rPr>
        <w:t xml:space="preserve"> место размещения линейных объектов в наибольшей степени соответствует всем требованиям норм и правил, обеспечивающих благоприятное воздействие объекта на окружающую природную среду и население района, а также предупреждение возможных экологических и иных последствий.</w:t>
      </w:r>
    </w:p>
    <w:p w14:paraId="46A0EBB7" w14:textId="576E5935" w:rsidR="008556E6" w:rsidRPr="004939FC" w:rsidRDefault="008556E6" w:rsidP="004939FC">
      <w:pPr>
        <w:suppressAutoHyphens w:val="0"/>
        <w:spacing w:line="276" w:lineRule="auto"/>
        <w:ind w:firstLine="567"/>
        <w:jc w:val="both"/>
        <w:rPr>
          <w:spacing w:val="-2"/>
          <w:kern w:val="24"/>
          <w:lang w:eastAsia="ru-RU"/>
        </w:rPr>
      </w:pPr>
      <w:r w:rsidRPr="004939FC">
        <w:rPr>
          <w:spacing w:val="-2"/>
          <w:kern w:val="24"/>
          <w:lang w:eastAsia="ru-RU"/>
        </w:rPr>
        <w:t>Прохождение трасс принято исходя из кратчайшего расстояния между начальным и конечным пунктами трассы</w:t>
      </w:r>
      <w:r w:rsidR="00003E47" w:rsidRPr="004939FC">
        <w:rPr>
          <w:spacing w:val="-2"/>
          <w:kern w:val="24"/>
          <w:lang w:eastAsia="ru-RU"/>
        </w:rPr>
        <w:t>, учитывая результаты инженерных изысканий, требования правил землепользования и застройки</w:t>
      </w:r>
      <w:r w:rsidR="00111EE3" w:rsidRPr="004939FC">
        <w:rPr>
          <w:spacing w:val="-2"/>
          <w:kern w:val="24"/>
          <w:lang w:eastAsia="ru-RU"/>
        </w:rPr>
        <w:t>,</w:t>
      </w:r>
      <w:r w:rsidR="00003E47" w:rsidRPr="004939FC">
        <w:rPr>
          <w:spacing w:val="-2"/>
          <w:kern w:val="24"/>
          <w:lang w:eastAsia="ru-RU"/>
        </w:rPr>
        <w:t xml:space="preserve"> </w:t>
      </w:r>
      <w:r w:rsidR="00111EE3" w:rsidRPr="004939FC">
        <w:rPr>
          <w:color w:val="000000"/>
          <w:spacing w:val="-2"/>
          <w:kern w:val="24"/>
          <w:shd w:val="clear" w:color="auto" w:fill="FFFFFF"/>
        </w:rPr>
        <w:t>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5" w:anchor="dst100095" w:history="1">
        <w:r w:rsidR="00111EE3" w:rsidRPr="004939FC">
          <w:rPr>
            <w:rStyle w:val="a4"/>
            <w:color w:val="1A0DAB"/>
            <w:spacing w:val="-2"/>
            <w:kern w:val="24"/>
            <w:shd w:val="clear" w:color="auto" w:fill="FFFFFF"/>
          </w:rPr>
          <w:t>части 1 статьи 11</w:t>
        </w:r>
      </w:hyperlink>
      <w:r w:rsidR="00111EE3" w:rsidRPr="004939FC">
        <w:rPr>
          <w:color w:val="000000"/>
          <w:spacing w:val="-2"/>
          <w:kern w:val="24"/>
          <w:shd w:val="clear" w:color="auto" w:fill="FFFFFF"/>
        </w:rPr>
        <w:t xml:space="preserve"> Федерального закона "Об организации дорожного </w:t>
      </w:r>
      <w:r w:rsidR="00111EE3" w:rsidRPr="004939FC">
        <w:rPr>
          <w:color w:val="000000"/>
          <w:spacing w:val="-2"/>
          <w:kern w:val="24"/>
          <w:shd w:val="clear" w:color="auto" w:fill="FFFFFF"/>
        </w:rPr>
        <w:lastRenderedPageBreak/>
        <w:t>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r w:rsidR="004939FC" w:rsidRPr="004939FC">
        <w:rPr>
          <w:color w:val="000000"/>
          <w:spacing w:val="-2"/>
          <w:kern w:val="24"/>
          <w:shd w:val="clear" w:color="auto" w:fill="FFFFFF"/>
        </w:rPr>
        <w:t>.</w:t>
      </w:r>
    </w:p>
    <w:p w14:paraId="267FA0AD" w14:textId="77777777" w:rsidR="008556E6" w:rsidRPr="00C13769" w:rsidRDefault="008556E6" w:rsidP="004939FC">
      <w:pPr>
        <w:suppressAutoHyphens w:val="0"/>
        <w:spacing w:line="276" w:lineRule="auto"/>
        <w:ind w:firstLine="567"/>
        <w:jc w:val="both"/>
        <w:rPr>
          <w:lang w:eastAsia="ru-RU"/>
        </w:rPr>
      </w:pPr>
      <w:r w:rsidRPr="00C13769">
        <w:rPr>
          <w:lang w:eastAsia="ru-RU"/>
        </w:rPr>
        <w:t>Проектируемое строительство не оказывает существенного влияния на геологическую среду, вследствие чего активизации опасных геологических процессов и изменения геологической среды не предвидится.</w:t>
      </w:r>
    </w:p>
    <w:p w14:paraId="0A3B3F0A" w14:textId="77777777" w:rsidR="008556E6" w:rsidRPr="00C13769" w:rsidRDefault="008556E6" w:rsidP="004939FC">
      <w:pPr>
        <w:spacing w:line="276" w:lineRule="auto"/>
        <w:ind w:firstLine="709"/>
        <w:contextualSpacing/>
        <w:jc w:val="both"/>
        <w:rPr>
          <w:bCs/>
          <w:lang w:eastAsia="ru-RU"/>
        </w:rPr>
      </w:pPr>
      <w:r w:rsidRPr="00C13769">
        <w:rPr>
          <w:bCs/>
          <w:lang w:eastAsia="ru-RU"/>
        </w:rPr>
        <w:t xml:space="preserve">Рациональное использование и охрана земель обеспечиваются следующими мероприятиями: </w:t>
      </w:r>
    </w:p>
    <w:p w14:paraId="1DEE19A2" w14:textId="77777777" w:rsidR="008556E6" w:rsidRPr="00C13769" w:rsidRDefault="008556E6" w:rsidP="004939FC">
      <w:pPr>
        <w:spacing w:line="276" w:lineRule="auto"/>
        <w:ind w:firstLine="709"/>
        <w:contextualSpacing/>
        <w:jc w:val="both"/>
        <w:rPr>
          <w:bCs/>
          <w:lang w:eastAsia="ru-RU"/>
        </w:rPr>
      </w:pPr>
      <w:r>
        <w:rPr>
          <w:bCs/>
          <w:lang w:eastAsia="ru-RU"/>
        </w:rPr>
        <w:t>-</w:t>
      </w:r>
      <w:r w:rsidRPr="00C13769">
        <w:rPr>
          <w:bCs/>
          <w:lang w:eastAsia="ru-RU"/>
        </w:rPr>
        <w:t xml:space="preserve"> размещением проектируемых объектов, по возможности, на малоценных и непригодных для сельского хозяйства землях; </w:t>
      </w:r>
    </w:p>
    <w:p w14:paraId="525A1BC4" w14:textId="77777777" w:rsidR="008556E6" w:rsidRPr="00C13769" w:rsidRDefault="008556E6" w:rsidP="004939FC">
      <w:pPr>
        <w:spacing w:line="276" w:lineRule="auto"/>
        <w:ind w:firstLine="709"/>
        <w:contextualSpacing/>
        <w:jc w:val="both"/>
        <w:rPr>
          <w:bCs/>
          <w:lang w:eastAsia="ru-RU"/>
        </w:rPr>
      </w:pPr>
      <w:r>
        <w:rPr>
          <w:bCs/>
          <w:lang w:eastAsia="ru-RU"/>
        </w:rPr>
        <w:t>-</w:t>
      </w:r>
      <w:r w:rsidRPr="00C13769">
        <w:rPr>
          <w:bCs/>
          <w:lang w:eastAsia="ru-RU"/>
        </w:rPr>
        <w:t xml:space="preserve"> рекультивацией нарушенных при строительстве земель; </w:t>
      </w:r>
    </w:p>
    <w:p w14:paraId="65E805B8" w14:textId="77777777" w:rsidR="008556E6" w:rsidRPr="00C13769" w:rsidRDefault="008556E6" w:rsidP="004939FC">
      <w:pPr>
        <w:spacing w:line="276" w:lineRule="auto"/>
        <w:ind w:firstLine="709"/>
        <w:contextualSpacing/>
        <w:jc w:val="both"/>
        <w:rPr>
          <w:bCs/>
          <w:lang w:eastAsia="ru-RU"/>
        </w:rPr>
      </w:pPr>
      <w:r>
        <w:rPr>
          <w:bCs/>
          <w:lang w:eastAsia="ru-RU"/>
        </w:rPr>
        <w:t>-</w:t>
      </w:r>
      <w:r w:rsidRPr="00C13769">
        <w:rPr>
          <w:bCs/>
          <w:lang w:eastAsia="ru-RU"/>
        </w:rPr>
        <w:t xml:space="preserve"> возмещением землепользователям убытков, связанных с изъятием земель.</w:t>
      </w:r>
    </w:p>
    <w:p w14:paraId="05787C92" w14:textId="77777777" w:rsidR="00111EE3" w:rsidRDefault="00111EE3" w:rsidP="004939FC">
      <w:pPr>
        <w:spacing w:line="276" w:lineRule="auto"/>
        <w:ind w:firstLine="709"/>
        <w:jc w:val="both"/>
        <w:rPr>
          <w:bCs/>
          <w:lang w:eastAsia="ru-RU"/>
        </w:rPr>
      </w:pPr>
      <w:r>
        <w:rPr>
          <w:bCs/>
          <w:lang w:eastAsia="ru-RU"/>
        </w:rPr>
        <w:t>Образуемые и изменяемые земельные участки в настоящее время не могут быть определены ввиду того, что документация по планировке и межеванию территория не разрабатывалась. Данная информация будет представлена в документации по планировке и межеванию территории на проверку и согласование в уполномоченный орган для последующего вынесения на публичные слушания и утверждение.</w:t>
      </w:r>
    </w:p>
    <w:p w14:paraId="78112683" w14:textId="7602643C" w:rsidR="007B3AA5" w:rsidRDefault="00003E47" w:rsidP="007B3EBB">
      <w:pPr>
        <w:spacing w:line="276" w:lineRule="auto"/>
        <w:ind w:firstLine="709"/>
        <w:jc w:val="both"/>
        <w:rPr>
          <w:bCs/>
          <w:lang w:eastAsia="ru-RU"/>
        </w:rPr>
      </w:pPr>
      <w:r>
        <w:rPr>
          <w:bCs/>
          <w:lang w:eastAsia="ru-RU"/>
        </w:rPr>
        <w:t>Технико-экономическое обоснование проекта отсутствует ввиду того, что финансирование осуществляется в полном объеме за счет заказчика работ (правообладателя линейного объекта).</w:t>
      </w:r>
    </w:p>
    <w:sectPr w:rsidR="007B3AA5" w:rsidSect="004939FC">
      <w:pgSz w:w="11906" w:h="16838"/>
      <w:pgMar w:top="737" w:right="851" w:bottom="73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B5CBC"/>
    <w:multiLevelType w:val="hybridMultilevel"/>
    <w:tmpl w:val="D91A5CBE"/>
    <w:lvl w:ilvl="0" w:tplc="A9C689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3C764B57"/>
    <w:multiLevelType w:val="hybridMultilevel"/>
    <w:tmpl w:val="8868A426"/>
    <w:lvl w:ilvl="0" w:tplc="BDA041E6">
      <w:start w:val="1"/>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2" w15:restartNumberingAfterBreak="0">
    <w:nsid w:val="49591BC7"/>
    <w:multiLevelType w:val="multilevel"/>
    <w:tmpl w:val="98A69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FE703DE"/>
    <w:multiLevelType w:val="multilevel"/>
    <w:tmpl w:val="0CDA5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6E6"/>
    <w:rsid w:val="00003E47"/>
    <w:rsid w:val="00111EE3"/>
    <w:rsid w:val="001E56BF"/>
    <w:rsid w:val="002206BC"/>
    <w:rsid w:val="00267752"/>
    <w:rsid w:val="002B194A"/>
    <w:rsid w:val="00316C03"/>
    <w:rsid w:val="004939FC"/>
    <w:rsid w:val="004D79E5"/>
    <w:rsid w:val="007B3AA5"/>
    <w:rsid w:val="007B3EBB"/>
    <w:rsid w:val="008556E6"/>
    <w:rsid w:val="00C06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0EE68"/>
  <w15:chartTrackingRefBased/>
  <w15:docId w15:val="{F045CFE2-404F-4023-BC4A-EE3D0778B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56E6"/>
    <w:pPr>
      <w:widowControl w:val="0"/>
      <w:suppressAutoHyphens/>
      <w:spacing w:after="0" w:line="240" w:lineRule="auto"/>
    </w:pPr>
    <w:rPr>
      <w:rFonts w:ascii="Times New Roman" w:eastAsia="Lucida Sans Unicode"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56E6"/>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styleId="a4">
    <w:name w:val="Hyperlink"/>
    <w:basedOn w:val="a0"/>
    <w:uiPriority w:val="99"/>
    <w:semiHidden/>
    <w:unhideWhenUsed/>
    <w:rsid w:val="00111E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onsultant.ru/document/cons_doc_LAW_483116/958b091b237069c1818160d71658a9485eda3e9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2</Pages>
  <Words>696</Words>
  <Characters>3971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В. Савичев</dc:creator>
  <cp:keywords/>
  <dc:description/>
  <cp:lastModifiedBy>Михаил Г. Утробин</cp:lastModifiedBy>
  <cp:revision>8</cp:revision>
  <dcterms:created xsi:type="dcterms:W3CDTF">2024-09-24T10:27:00Z</dcterms:created>
  <dcterms:modified xsi:type="dcterms:W3CDTF">2025-05-13T09:32:00Z</dcterms:modified>
</cp:coreProperties>
</file>